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1E1" w:rsidRDefault="005231E1" w:rsidP="005231E1">
      <w:pPr>
        <w:pStyle w:val="Heading1"/>
      </w:pPr>
      <w:r>
        <w:t>Create to Learn Companion Web Site</w:t>
      </w:r>
    </w:p>
    <w:p w:rsidR="005231E1" w:rsidRDefault="00707838" w:rsidP="005231E1">
      <w:hyperlink r:id="rId7" w:history="1">
        <w:r w:rsidR="005231E1" w:rsidRPr="006978A6">
          <w:rPr>
            <w:rStyle w:val="Hyperlink"/>
          </w:rPr>
          <w:t>https://createtolearn.online/</w:t>
        </w:r>
      </w:hyperlink>
    </w:p>
    <w:p w:rsidR="005231E1" w:rsidRDefault="005231E1" w:rsidP="005231E1">
      <w:pPr>
        <w:pStyle w:val="ListParagraph"/>
        <w:numPr>
          <w:ilvl w:val="0"/>
          <w:numId w:val="1"/>
        </w:numPr>
      </w:pPr>
      <w:r>
        <w:t xml:space="preserve">Go to the Create to </w:t>
      </w:r>
      <w:proofErr w:type="gramStart"/>
      <w:r>
        <w:t>Learn</w:t>
      </w:r>
      <w:proofErr w:type="gramEnd"/>
      <w:r>
        <w:t xml:space="preserve"> website and sign in.</w:t>
      </w:r>
    </w:p>
    <w:p w:rsidR="005231E1" w:rsidRDefault="005231E1" w:rsidP="005231E1">
      <w:pPr>
        <w:pStyle w:val="ListParagraph"/>
        <w:numPr>
          <w:ilvl w:val="0"/>
          <w:numId w:val="1"/>
        </w:numPr>
      </w:pPr>
      <w:r>
        <w:t>Click on tab, Student Study Materials</w:t>
      </w:r>
    </w:p>
    <w:p w:rsidR="005231E1" w:rsidRDefault="005231E1" w:rsidP="005231E1">
      <w:pPr>
        <w:pStyle w:val="ListParagraph"/>
        <w:numPr>
          <w:ilvl w:val="0"/>
          <w:numId w:val="1"/>
        </w:numPr>
      </w:pPr>
      <w:r>
        <w:t xml:space="preserve">Select the chapter that you are reading, and view the slide show.  Follow your interests in relation to using other resources that are provided.  </w:t>
      </w:r>
    </w:p>
    <w:p w:rsidR="005231E1" w:rsidRDefault="005231E1" w:rsidP="005231E1">
      <w:pPr>
        <w:pStyle w:val="Heading1"/>
      </w:pPr>
      <w:r>
        <w:t>Reading Guide</w:t>
      </w:r>
    </w:p>
    <w:p w:rsidR="0079070E" w:rsidRPr="0041110F" w:rsidRDefault="005231E1" w:rsidP="0041110F">
      <w:pPr>
        <w:pStyle w:val="Heading2"/>
      </w:pPr>
      <w:r>
        <w:t>Week 5:  Chapter 4 (complete before class on 2/13)</w:t>
      </w:r>
    </w:p>
    <w:p w:rsidR="005231E1" w:rsidRDefault="005231E1" w:rsidP="005231E1">
      <w:pPr>
        <w:rPr>
          <w:b/>
        </w:rPr>
      </w:pPr>
      <w:r w:rsidRPr="00DD7EB3">
        <w:rPr>
          <w:b/>
        </w:rPr>
        <w:t xml:space="preserve">Chapter </w:t>
      </w:r>
      <w:r>
        <w:rPr>
          <w:b/>
        </w:rPr>
        <w:t>4 Accessing and Analyzing Ideas</w:t>
      </w:r>
    </w:p>
    <w:p w:rsidR="005231E1" w:rsidRDefault="005231E1" w:rsidP="005231E1">
      <w:r>
        <w:t>After reading the chapter, please v</w:t>
      </w:r>
      <w:r w:rsidRPr="001372F9">
        <w:rPr>
          <w:b/>
        </w:rPr>
        <w:t>iew the Accessing and Analyzing slide deck</w:t>
      </w:r>
      <w:r>
        <w:t xml:space="preserve"> on the student resources section of the Create to </w:t>
      </w:r>
      <w:proofErr w:type="gramStart"/>
      <w:r>
        <w:t>Learn</w:t>
      </w:r>
      <w:proofErr w:type="gramEnd"/>
      <w:r>
        <w:t xml:space="preserve"> companion web</w:t>
      </w:r>
      <w:r w:rsidR="00EA439B">
        <w:t>site</w:t>
      </w:r>
      <w:r>
        <w:t>.</w:t>
      </w:r>
      <w:r w:rsidR="00EA439B">
        <w:t xml:space="preserve">  Then, c</w:t>
      </w:r>
      <w:r w:rsidR="00EA439B" w:rsidRPr="0079070E">
        <w:rPr>
          <w:b/>
        </w:rPr>
        <w:t>omplete the three items below</w:t>
      </w:r>
      <w:r w:rsidR="001372F9">
        <w:t xml:space="preserve"> (slide 18, </w:t>
      </w:r>
    </w:p>
    <w:p w:rsidR="00CC0CFE" w:rsidRDefault="00CC0CFE" w:rsidP="00EA439B">
      <w:pPr>
        <w:pStyle w:val="ListParagraph"/>
        <w:numPr>
          <w:ilvl w:val="0"/>
          <w:numId w:val="3"/>
        </w:numPr>
        <w:rPr>
          <w:b/>
        </w:rPr>
      </w:pPr>
      <w:r w:rsidRPr="00EA439B">
        <w:rPr>
          <w:b/>
        </w:rPr>
        <w:t>Slide 18 Media literacy perspective for analyzing texts</w:t>
      </w:r>
    </w:p>
    <w:p w:rsidR="007776B9" w:rsidRDefault="007776B9" w:rsidP="007776B9">
      <w:pPr>
        <w:pStyle w:val="ListParagraph"/>
        <w:rPr>
          <w:b/>
        </w:rPr>
      </w:pPr>
    </w:p>
    <w:tbl>
      <w:tblPr>
        <w:tblStyle w:val="TableGrid"/>
        <w:tblW w:w="0" w:type="auto"/>
        <w:tblInd w:w="720" w:type="dxa"/>
        <w:tblLook w:val="04A0" w:firstRow="1" w:lastRow="0" w:firstColumn="1" w:lastColumn="0" w:noHBand="0" w:noVBand="1"/>
      </w:tblPr>
      <w:tblGrid>
        <w:gridCol w:w="8630"/>
      </w:tblGrid>
      <w:tr w:rsidR="007776B9" w:rsidTr="007776B9">
        <w:tc>
          <w:tcPr>
            <w:tcW w:w="9350" w:type="dxa"/>
          </w:tcPr>
          <w:p w:rsidR="007776B9" w:rsidRDefault="007776B9" w:rsidP="007776B9">
            <w:pPr>
              <w:pStyle w:val="ListParagraph"/>
              <w:ind w:left="0"/>
              <w:rPr>
                <w:b/>
              </w:rPr>
            </w:pPr>
            <w:r>
              <w:rPr>
                <w:noProof/>
              </w:rPr>
              <w:drawing>
                <wp:inline distT="0" distB="0" distL="0" distR="0" wp14:anchorId="1E5F6E52" wp14:editId="4E17F630">
                  <wp:extent cx="5352233" cy="3014476"/>
                  <wp:effectExtent l="0" t="0" r="1270" b="0"/>
                  <wp:docPr id="2" name="Picture 2" descr="https://image.slidesharecdn.com/hobbschapter4createtolearn-170925082933/95/renee-hobbs-2017-create-to-learn-introduction-to-digital-literacy-chapter-4-accessing-and-analyzing-ideas-18-638.jpg?cb=150633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lidesharecdn.com/hobbschapter4createtolearn-170925082933/95/renee-hobbs-2017-create-to-learn-introduction-to-digital-literacy-chapter-4-accessing-and-analyzing-ideas-18-638.jpg?cb=1506332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1718" cy="3025450"/>
                          </a:xfrm>
                          <a:prstGeom prst="rect">
                            <a:avLst/>
                          </a:prstGeom>
                          <a:noFill/>
                          <a:ln>
                            <a:noFill/>
                          </a:ln>
                        </pic:spPr>
                      </pic:pic>
                    </a:graphicData>
                  </a:graphic>
                </wp:inline>
              </w:drawing>
            </w:r>
          </w:p>
        </w:tc>
      </w:tr>
    </w:tbl>
    <w:p w:rsidR="00CC0CFE" w:rsidRDefault="00CC0CFE"/>
    <w:p w:rsidR="00D719FD" w:rsidRDefault="00D719FD">
      <w:r>
        <w:t xml:space="preserve">The </w:t>
      </w:r>
      <w:r w:rsidR="00EA439B">
        <w:t xml:space="preserve">classic </w:t>
      </w:r>
      <w:r>
        <w:t xml:space="preserve">Rand Reading Study Group </w:t>
      </w:r>
      <w:r w:rsidR="007776B9">
        <w:t xml:space="preserve">(2003) </w:t>
      </w:r>
      <w:r>
        <w:t xml:space="preserve">report represents reading comprehension as an interaction of reader, text, and activity, situated in a socio-cultural context. </w:t>
      </w:r>
      <w:r w:rsidR="007776B9">
        <w:t>Picture 3 interconnecting circles, inside a larger circle!</w:t>
      </w:r>
    </w:p>
    <w:p w:rsidR="00D719FD" w:rsidRDefault="00D719FD">
      <w:r>
        <w:t xml:space="preserve">Here, Hobbs suggests media literacy interpretation consists of an interaction of reader, text, and culture.   </w:t>
      </w:r>
    </w:p>
    <w:p w:rsidR="00EA439B" w:rsidRDefault="00EA439B">
      <w:r>
        <w:t>With regard to the RRSG reading comprehension framework:</w:t>
      </w:r>
    </w:p>
    <w:p w:rsidR="00D719FD" w:rsidRDefault="00D719FD">
      <w:r>
        <w:t xml:space="preserve">When we think of reader factors in relation to reading comprehension, we might consider the reader’s interests, background knowledge about the topic, prior measures of reading achievement, languages </w:t>
      </w:r>
      <w:r>
        <w:lastRenderedPageBreak/>
        <w:t xml:space="preserve">spoken, etc.  We consider text factors such as </w:t>
      </w:r>
      <w:r w:rsidR="0042732A">
        <w:t>concepts and vocabulary</w:t>
      </w:r>
      <w:r>
        <w:t xml:space="preserve">, genre, length, format, etc. And, activity is considered in relation to what we ask the reader to do – are they reading to be entertained, to learn something new, how much time do they have and in what ways are they going to express themselves? Finally, the situated nature of literacy is essential to understanding </w:t>
      </w:r>
      <w:r w:rsidR="0042732A">
        <w:t>how readers make meaning in a particular context.  Reading the back of the detergent box when deciding whether to purchase this brand is very different from reading it when your pet has eaten one of the pods.  Further, reading when your friends like to read is different from reading when none of your friends do. In the first case, you may talk about books and share recommendations; in the latter case, you might keep your reading to yourself and not share it.</w:t>
      </w:r>
    </w:p>
    <w:p w:rsidR="0042732A" w:rsidRDefault="0042732A">
      <w:r>
        <w:t xml:space="preserve">The above is </w:t>
      </w:r>
      <w:r w:rsidR="00EA439B">
        <w:t xml:space="preserve">probably </w:t>
      </w:r>
      <w:r>
        <w:t>familiar to you</w:t>
      </w:r>
      <w:r w:rsidR="00EA439B">
        <w:t>, as a reading teacher</w:t>
      </w:r>
      <w:r>
        <w:t>; now consider Hobbs’ suggested framework for media literacy interpretation as an interaction of reader, text, and culture.</w:t>
      </w:r>
      <w:r w:rsidR="00EA439B">
        <w:t xml:space="preserve"> </w:t>
      </w:r>
    </w:p>
    <w:p w:rsidR="0042732A" w:rsidRPr="0079070E" w:rsidRDefault="0042732A">
      <w:pPr>
        <w:rPr>
          <w:b/>
        </w:rPr>
      </w:pPr>
      <w:r w:rsidRPr="0079070E">
        <w:rPr>
          <w:b/>
        </w:rPr>
        <w:t xml:space="preserve">With regard to media literacy…complete the following table </w:t>
      </w:r>
      <w:r w:rsidR="00EA439B" w:rsidRPr="0079070E">
        <w:rPr>
          <w:b/>
        </w:rPr>
        <w:t xml:space="preserve">of </w:t>
      </w:r>
      <w:r w:rsidRPr="0079070E">
        <w:rPr>
          <w:b/>
        </w:rPr>
        <w:t>reading, text, and cultural factors, providing an example or two for each factor.</w:t>
      </w:r>
    </w:p>
    <w:tbl>
      <w:tblPr>
        <w:tblStyle w:val="TableGrid"/>
        <w:tblW w:w="0" w:type="auto"/>
        <w:tblLook w:val="04A0" w:firstRow="1" w:lastRow="0" w:firstColumn="1" w:lastColumn="0" w:noHBand="0" w:noVBand="1"/>
      </w:tblPr>
      <w:tblGrid>
        <w:gridCol w:w="4675"/>
        <w:gridCol w:w="4675"/>
      </w:tblGrid>
      <w:tr w:rsidR="0042732A" w:rsidTr="001372F9">
        <w:tc>
          <w:tcPr>
            <w:tcW w:w="4675" w:type="dxa"/>
          </w:tcPr>
          <w:p w:rsidR="0042732A" w:rsidRPr="0042732A" w:rsidRDefault="0042732A">
            <w:pPr>
              <w:rPr>
                <w:b/>
              </w:rPr>
            </w:pPr>
            <w:r w:rsidRPr="0042732A">
              <w:rPr>
                <w:b/>
              </w:rPr>
              <w:t>Media Literacy Interpretation</w:t>
            </w:r>
          </w:p>
        </w:tc>
        <w:tc>
          <w:tcPr>
            <w:tcW w:w="4675" w:type="dxa"/>
          </w:tcPr>
          <w:p w:rsidR="0042732A" w:rsidRDefault="0042732A"/>
        </w:tc>
      </w:tr>
      <w:tr w:rsidR="0042732A" w:rsidTr="001372F9">
        <w:tc>
          <w:tcPr>
            <w:tcW w:w="4675" w:type="dxa"/>
          </w:tcPr>
          <w:p w:rsidR="0042732A" w:rsidRDefault="0042732A" w:rsidP="0042732A">
            <w:pPr>
              <w:pStyle w:val="ListParagraph"/>
              <w:numPr>
                <w:ilvl w:val="0"/>
                <w:numId w:val="2"/>
              </w:numPr>
            </w:pPr>
            <w:r>
              <w:t>Reader factors</w:t>
            </w:r>
          </w:p>
        </w:tc>
        <w:tc>
          <w:tcPr>
            <w:tcW w:w="4675" w:type="dxa"/>
          </w:tcPr>
          <w:p w:rsidR="0042732A" w:rsidRDefault="0042732A"/>
        </w:tc>
      </w:tr>
      <w:tr w:rsidR="0042732A" w:rsidTr="001372F9">
        <w:tc>
          <w:tcPr>
            <w:tcW w:w="4675" w:type="dxa"/>
          </w:tcPr>
          <w:p w:rsidR="0042732A" w:rsidRDefault="0042732A" w:rsidP="0042732A">
            <w:pPr>
              <w:pStyle w:val="ListParagraph"/>
              <w:numPr>
                <w:ilvl w:val="0"/>
                <w:numId w:val="2"/>
              </w:numPr>
            </w:pPr>
            <w:r>
              <w:t xml:space="preserve">Text factors </w:t>
            </w:r>
          </w:p>
        </w:tc>
        <w:tc>
          <w:tcPr>
            <w:tcW w:w="4675" w:type="dxa"/>
          </w:tcPr>
          <w:p w:rsidR="0042732A" w:rsidRDefault="0042732A"/>
        </w:tc>
      </w:tr>
      <w:tr w:rsidR="0042732A" w:rsidTr="001372F9">
        <w:tc>
          <w:tcPr>
            <w:tcW w:w="4675" w:type="dxa"/>
          </w:tcPr>
          <w:p w:rsidR="0042732A" w:rsidRDefault="0042732A" w:rsidP="0042732A">
            <w:pPr>
              <w:pStyle w:val="ListParagraph"/>
              <w:numPr>
                <w:ilvl w:val="0"/>
                <w:numId w:val="2"/>
              </w:numPr>
            </w:pPr>
            <w:r>
              <w:t>Cultural factors</w:t>
            </w:r>
          </w:p>
        </w:tc>
        <w:tc>
          <w:tcPr>
            <w:tcW w:w="4675" w:type="dxa"/>
          </w:tcPr>
          <w:p w:rsidR="0042732A" w:rsidRDefault="0042732A"/>
        </w:tc>
      </w:tr>
      <w:tr w:rsidR="0042732A" w:rsidTr="001372F9">
        <w:tc>
          <w:tcPr>
            <w:tcW w:w="4675" w:type="dxa"/>
          </w:tcPr>
          <w:p w:rsidR="0042732A" w:rsidRDefault="0042732A" w:rsidP="0042732A">
            <w:pPr>
              <w:pStyle w:val="ListParagraph"/>
              <w:numPr>
                <w:ilvl w:val="0"/>
                <w:numId w:val="2"/>
              </w:numPr>
            </w:pPr>
            <w:r>
              <w:t xml:space="preserve">What else would you add? Is activity </w:t>
            </w:r>
            <w:r w:rsidR="00EA439B">
              <w:t xml:space="preserve">an </w:t>
            </w:r>
            <w:r>
              <w:t>important</w:t>
            </w:r>
            <w:r w:rsidR="00EA439B">
              <w:t xml:space="preserve"> factor</w:t>
            </w:r>
            <w:r>
              <w:t>?</w:t>
            </w:r>
          </w:p>
        </w:tc>
        <w:tc>
          <w:tcPr>
            <w:tcW w:w="4675" w:type="dxa"/>
          </w:tcPr>
          <w:p w:rsidR="0042732A" w:rsidRDefault="0042732A"/>
        </w:tc>
      </w:tr>
      <w:tr w:rsidR="00EA439B" w:rsidTr="001372F9">
        <w:tc>
          <w:tcPr>
            <w:tcW w:w="4675" w:type="dxa"/>
          </w:tcPr>
          <w:p w:rsidR="00EA439B" w:rsidRDefault="00EA439B" w:rsidP="00EA439B">
            <w:pPr>
              <w:pStyle w:val="ListParagraph"/>
              <w:numPr>
                <w:ilvl w:val="0"/>
                <w:numId w:val="2"/>
              </w:numPr>
            </w:pPr>
            <w:r>
              <w:t>If you were explaining to a student how reading comprehension and media literacy interpretation is similar and different, what would you say?</w:t>
            </w:r>
          </w:p>
        </w:tc>
        <w:tc>
          <w:tcPr>
            <w:tcW w:w="4675" w:type="dxa"/>
          </w:tcPr>
          <w:p w:rsidR="00EA439B" w:rsidRDefault="00EA439B"/>
        </w:tc>
      </w:tr>
    </w:tbl>
    <w:p w:rsidR="0042732A" w:rsidRDefault="0042732A"/>
    <w:p w:rsidR="00EA439B" w:rsidRPr="00EA439B" w:rsidRDefault="00EA439B" w:rsidP="00EA439B">
      <w:pPr>
        <w:pStyle w:val="ListParagraph"/>
        <w:numPr>
          <w:ilvl w:val="0"/>
          <w:numId w:val="3"/>
        </w:numPr>
        <w:rPr>
          <w:b/>
        </w:rPr>
      </w:pPr>
      <w:r w:rsidRPr="00EA439B">
        <w:rPr>
          <w:b/>
        </w:rPr>
        <w:t>Slide 19.  Video of student’s critique of Madison’s make-up tutorial</w:t>
      </w:r>
    </w:p>
    <w:p w:rsidR="00EA439B" w:rsidRPr="007776B9" w:rsidRDefault="00EA439B">
      <w:pPr>
        <w:rPr>
          <w:b/>
        </w:rPr>
      </w:pPr>
      <w:r>
        <w:t>The college student critiques 5 year-old Madison’s make-up tutorial</w:t>
      </w:r>
      <w:r w:rsidR="0041110F">
        <w:t xml:space="preserve"> in this screencast (she narrates over the original video, adding some addition screens, as well). She uses</w:t>
      </w:r>
      <w:r>
        <w:t xml:space="preserve"> the 5 media literacy questions presented in slide 20 (below)</w:t>
      </w:r>
      <w:r w:rsidR="0041110F">
        <w:t xml:space="preserve"> to frame her critique</w:t>
      </w:r>
      <w:r>
        <w:t>.</w:t>
      </w:r>
      <w:r w:rsidR="007776B9">
        <w:t xml:space="preserve"> </w:t>
      </w:r>
      <w:r w:rsidR="007776B9" w:rsidRPr="007776B9">
        <w:rPr>
          <w:b/>
        </w:rPr>
        <w:t>Respond in the table below.</w:t>
      </w:r>
    </w:p>
    <w:tbl>
      <w:tblPr>
        <w:tblStyle w:val="TableGrid"/>
        <w:tblW w:w="0" w:type="auto"/>
        <w:tblLook w:val="04A0" w:firstRow="1" w:lastRow="0" w:firstColumn="1" w:lastColumn="0" w:noHBand="0" w:noVBand="1"/>
      </w:tblPr>
      <w:tblGrid>
        <w:gridCol w:w="4675"/>
        <w:gridCol w:w="4675"/>
      </w:tblGrid>
      <w:tr w:rsidR="0041110F" w:rsidTr="0041110F">
        <w:tc>
          <w:tcPr>
            <w:tcW w:w="4675" w:type="dxa"/>
          </w:tcPr>
          <w:p w:rsidR="0041110F" w:rsidRDefault="0041110F" w:rsidP="0041110F">
            <w:pPr>
              <w:pStyle w:val="ListParagraph"/>
              <w:numPr>
                <w:ilvl w:val="0"/>
                <w:numId w:val="5"/>
              </w:numPr>
            </w:pPr>
            <w:r>
              <w:t>What was your reaction to Madison’s video?</w:t>
            </w:r>
          </w:p>
          <w:p w:rsidR="0041110F" w:rsidRDefault="0041110F" w:rsidP="0041110F"/>
        </w:tc>
        <w:tc>
          <w:tcPr>
            <w:tcW w:w="4675" w:type="dxa"/>
          </w:tcPr>
          <w:p w:rsidR="0041110F" w:rsidRDefault="0041110F"/>
        </w:tc>
      </w:tr>
      <w:tr w:rsidR="0041110F" w:rsidTr="0041110F">
        <w:tc>
          <w:tcPr>
            <w:tcW w:w="4675" w:type="dxa"/>
          </w:tcPr>
          <w:p w:rsidR="0041110F" w:rsidRDefault="0041110F" w:rsidP="0041110F">
            <w:pPr>
              <w:pStyle w:val="ListParagraph"/>
              <w:numPr>
                <w:ilvl w:val="0"/>
                <w:numId w:val="5"/>
              </w:numPr>
            </w:pPr>
            <w:r>
              <w:t>Is there anything that you would like to add to the student’s critique (both positive and negative)?</w:t>
            </w:r>
          </w:p>
        </w:tc>
        <w:tc>
          <w:tcPr>
            <w:tcW w:w="4675" w:type="dxa"/>
          </w:tcPr>
          <w:p w:rsidR="0041110F" w:rsidRDefault="0041110F"/>
        </w:tc>
      </w:tr>
    </w:tbl>
    <w:p w:rsidR="0041110F" w:rsidRDefault="0041110F"/>
    <w:p w:rsidR="0041110F" w:rsidRDefault="0041110F">
      <w:r>
        <w:t>OPTION – If you’re interested, you might want to view Madison’s original video, without the student’s commentary.  Over 1.2 million views!</w:t>
      </w:r>
    </w:p>
    <w:p w:rsidR="0041110F" w:rsidRDefault="00707838" w:rsidP="0041110F">
      <w:hyperlink r:id="rId9" w:history="1">
        <w:r w:rsidR="0041110F" w:rsidRPr="00A408B3">
          <w:rPr>
            <w:rStyle w:val="Hyperlink"/>
          </w:rPr>
          <w:t>https://www.youtube.com/watch?v=4NIpIr1X9Kc</w:t>
        </w:r>
      </w:hyperlink>
    </w:p>
    <w:p w:rsidR="0041110F" w:rsidRPr="001A4C41" w:rsidRDefault="007776B9" w:rsidP="0041110F">
      <w:pPr>
        <w:rPr>
          <w:sz w:val="20"/>
          <w:szCs w:val="20"/>
        </w:rPr>
      </w:pPr>
      <w:r w:rsidRPr="001A4C41">
        <w:rPr>
          <w:sz w:val="20"/>
          <w:szCs w:val="20"/>
        </w:rPr>
        <w:t>Original</w:t>
      </w:r>
      <w:r w:rsidR="0041110F" w:rsidRPr="001A4C41">
        <w:rPr>
          <w:sz w:val="20"/>
          <w:szCs w:val="20"/>
        </w:rPr>
        <w:t xml:space="preserve"> video</w:t>
      </w:r>
      <w:r w:rsidR="0041110F">
        <w:rPr>
          <w:sz w:val="20"/>
          <w:szCs w:val="20"/>
        </w:rPr>
        <w:t xml:space="preserve"> 3.39 min</w:t>
      </w:r>
    </w:p>
    <w:p w:rsidR="0041110F" w:rsidRPr="001A4C41" w:rsidRDefault="0041110F" w:rsidP="0041110F">
      <w:pPr>
        <w:shd w:val="clear" w:color="auto" w:fill="FFFFFF"/>
        <w:spacing w:after="0" w:line="240" w:lineRule="auto"/>
        <w:rPr>
          <w:rFonts w:ascii="Arial" w:eastAsia="Times New Roman" w:hAnsi="Arial" w:cs="Arial"/>
          <w:color w:val="000000"/>
          <w:sz w:val="20"/>
          <w:szCs w:val="20"/>
        </w:rPr>
      </w:pPr>
      <w:r w:rsidRPr="001A4C41">
        <w:rPr>
          <w:rFonts w:ascii="Arial" w:eastAsia="Times New Roman" w:hAnsi="Arial" w:cs="Arial"/>
          <w:color w:val="000000"/>
          <w:sz w:val="20"/>
          <w:szCs w:val="20"/>
          <w:bdr w:val="none" w:sz="0" w:space="0" w:color="auto" w:frame="1"/>
        </w:rPr>
        <w:t>1,224,449 views</w:t>
      </w:r>
    </w:p>
    <w:p w:rsidR="0041110F" w:rsidRPr="001A4C41" w:rsidRDefault="0041110F" w:rsidP="0041110F">
      <w:pPr>
        <w:rPr>
          <w:sz w:val="20"/>
          <w:szCs w:val="20"/>
        </w:rPr>
      </w:pPr>
      <w:r w:rsidRPr="001A4C41">
        <w:rPr>
          <w:rFonts w:ascii="Arial" w:eastAsia="Times New Roman" w:hAnsi="Arial" w:cs="Arial"/>
          <w:color w:val="000000"/>
          <w:sz w:val="20"/>
          <w:szCs w:val="20"/>
        </w:rPr>
        <w:lastRenderedPageBreak/>
        <w:t xml:space="preserve"> Mzzclipper12 pub </w:t>
      </w:r>
      <w:proofErr w:type="spellStart"/>
      <w:proofErr w:type="gramStart"/>
      <w:r w:rsidRPr="001A4C41">
        <w:rPr>
          <w:rFonts w:ascii="Arial" w:eastAsia="Times New Roman" w:hAnsi="Arial" w:cs="Arial"/>
          <w:color w:val="000000"/>
          <w:sz w:val="20"/>
          <w:szCs w:val="20"/>
        </w:rPr>
        <w:t>feb</w:t>
      </w:r>
      <w:proofErr w:type="spellEnd"/>
      <w:proofErr w:type="gramEnd"/>
      <w:r w:rsidRPr="001A4C41">
        <w:rPr>
          <w:rFonts w:ascii="Arial" w:eastAsia="Times New Roman" w:hAnsi="Arial" w:cs="Arial"/>
          <w:color w:val="000000"/>
          <w:sz w:val="20"/>
          <w:szCs w:val="20"/>
        </w:rPr>
        <w:t xml:space="preserve"> 19, 2011</w:t>
      </w:r>
    </w:p>
    <w:p w:rsidR="0041110F" w:rsidRDefault="0041110F" w:rsidP="0041110F">
      <w:pPr>
        <w:rPr>
          <w:rFonts w:ascii="Arial" w:hAnsi="Arial" w:cs="Arial"/>
          <w:color w:val="000000"/>
          <w:sz w:val="15"/>
          <w:szCs w:val="15"/>
        </w:rPr>
      </w:pPr>
      <w:r>
        <w:rPr>
          <w:rFonts w:ascii="Arial" w:hAnsi="Arial" w:cs="Arial"/>
          <w:noProof/>
          <w:color w:val="0000FF"/>
          <w:sz w:val="15"/>
          <w:szCs w:val="15"/>
        </w:rPr>
        <w:drawing>
          <wp:inline distT="0" distB="0" distL="0" distR="0" wp14:anchorId="2902134A" wp14:editId="4FAABCF9">
            <wp:extent cx="692150" cy="692150"/>
            <wp:effectExtent l="0" t="0" r="0" b="0"/>
            <wp:docPr id="4" name="Picture 4" descr="https://yt3.ggpht.com/-E4J8ug1NNPk/AAAAAAAAAAI/AAAAAAAAAAA/biJa4D4B6Wk/s88-c-k-no-mo-rj-c0xffffff/photo.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yt3.ggpht.com/-E4J8ug1NNPk/AAAAAAAAAAI/AAAAAAAAAAA/biJa4D4B6Wk/s88-c-k-no-mo-rj-c0xffffff/photo.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p w:rsidR="0041110F" w:rsidRDefault="0041110F" w:rsidP="0041110F">
      <w:pPr>
        <w:rPr>
          <w:rFonts w:ascii="Arial" w:hAnsi="Arial" w:cs="Arial"/>
          <w:color w:val="000000"/>
          <w:sz w:val="15"/>
          <w:szCs w:val="15"/>
        </w:rPr>
      </w:pPr>
      <w:r>
        <w:rPr>
          <w:rFonts w:ascii="Arial" w:hAnsi="Arial" w:cs="Arial"/>
          <w:color w:val="000000"/>
          <w:sz w:val="15"/>
          <w:szCs w:val="15"/>
        </w:rPr>
        <w:t xml:space="preserve">My daughter has watched too many makeup videos with me! Get Madison's favorite </w:t>
      </w:r>
      <w:proofErr w:type="gramStart"/>
      <w:r>
        <w:rPr>
          <w:rFonts w:ascii="Arial" w:hAnsi="Arial" w:cs="Arial"/>
          <w:color w:val="000000"/>
          <w:sz w:val="15"/>
          <w:szCs w:val="15"/>
        </w:rPr>
        <w:t>brushes ,</w:t>
      </w:r>
      <w:proofErr w:type="gramEnd"/>
      <w:r>
        <w:rPr>
          <w:rFonts w:ascii="Arial" w:hAnsi="Arial" w:cs="Arial"/>
          <w:color w:val="000000"/>
          <w:sz w:val="15"/>
          <w:szCs w:val="15"/>
        </w:rPr>
        <w:t xml:space="preserve"> "I love it, you got to try it"!! </w:t>
      </w:r>
      <w:hyperlink r:id="rId12" w:history="1">
        <w:r>
          <w:rPr>
            <w:rStyle w:val="Hyperlink"/>
            <w:rFonts w:ascii="Arial" w:hAnsi="Arial" w:cs="Arial"/>
            <w:sz w:val="15"/>
            <w:szCs w:val="15"/>
          </w:rPr>
          <w:t>http://www.sigmabeauty.com/?Click=26915</w:t>
        </w:r>
      </w:hyperlink>
    </w:p>
    <w:p w:rsidR="00EA439B" w:rsidRDefault="00EA439B"/>
    <w:p w:rsidR="0079070E" w:rsidRPr="0079070E" w:rsidRDefault="0079070E" w:rsidP="0041110F">
      <w:pPr>
        <w:pStyle w:val="ListParagraph"/>
        <w:numPr>
          <w:ilvl w:val="0"/>
          <w:numId w:val="5"/>
        </w:numPr>
      </w:pPr>
      <w:r w:rsidRPr="0041110F">
        <w:rPr>
          <w:b/>
        </w:rPr>
        <w:t xml:space="preserve">Slide 20.  </w:t>
      </w:r>
      <w:r w:rsidR="00EA439B" w:rsidRPr="0041110F">
        <w:rPr>
          <w:b/>
        </w:rPr>
        <w:t>Last step</w:t>
      </w:r>
      <w:r w:rsidRPr="0041110F">
        <w:rPr>
          <w:b/>
        </w:rPr>
        <w:t>!</w:t>
      </w:r>
      <w:r w:rsidR="00EA439B" w:rsidRPr="0041110F">
        <w:rPr>
          <w:b/>
        </w:rPr>
        <w:t xml:space="preserve"> </w:t>
      </w:r>
      <w:r w:rsidRPr="0041110F">
        <w:rPr>
          <w:b/>
        </w:rPr>
        <w:t xml:space="preserve"> Try out the mentor text activity described in slide 20 (and pasted below)</w:t>
      </w:r>
      <w:r w:rsidR="001372F9">
        <w:rPr>
          <w:b/>
        </w:rPr>
        <w:t xml:space="preserve"> and respond in the table (also below)</w:t>
      </w:r>
      <w:r w:rsidRPr="0041110F">
        <w:rPr>
          <w:b/>
        </w:rPr>
        <w:t>.</w:t>
      </w:r>
    </w:p>
    <w:p w:rsidR="0079070E" w:rsidRDefault="0079070E" w:rsidP="0041110F">
      <w:pPr>
        <w:pStyle w:val="ListParagraph"/>
        <w:ind w:left="0"/>
      </w:pPr>
      <w:r w:rsidRPr="0079070E">
        <w:t>Note that the mentor text can be any genre, media and format. It can be part of a text – it could be an illustration in a picture book, or one brief excerpt from a video that you ar</w:t>
      </w:r>
      <w:r w:rsidRPr="0041110F">
        <w:t xml:space="preserve">e familiar with, </w:t>
      </w:r>
      <w:r w:rsidRPr="0079070E">
        <w:t xml:space="preserve">a print ad, a news report, etc. </w:t>
      </w:r>
      <w:r w:rsidR="0041110F">
        <w:t xml:space="preserve">You decide!  You might want to choose something that you could use with your own students (even third graders can participate in media literacy – </w:t>
      </w:r>
      <w:r w:rsidR="001372F9">
        <w:t>I would probably</w:t>
      </w:r>
      <w:r w:rsidR="0041110F">
        <w:t xml:space="preserve"> choose 2 or 3 questions, and simplify the language</w:t>
      </w:r>
      <w:r w:rsidR="007776B9">
        <w:t xml:space="preserve"> so that it is age appropriate).</w:t>
      </w:r>
    </w:p>
    <w:p w:rsidR="0041110F" w:rsidRDefault="0041110F" w:rsidP="0079070E">
      <w:pPr>
        <w:pStyle w:val="ListParagraph"/>
        <w:ind w:left="360"/>
      </w:pPr>
    </w:p>
    <w:tbl>
      <w:tblPr>
        <w:tblStyle w:val="TableGrid"/>
        <w:tblW w:w="0" w:type="auto"/>
        <w:tblInd w:w="360" w:type="dxa"/>
        <w:tblLook w:val="04A0" w:firstRow="1" w:lastRow="0" w:firstColumn="1" w:lastColumn="0" w:noHBand="0" w:noVBand="1"/>
      </w:tblPr>
      <w:tblGrid>
        <w:gridCol w:w="8990"/>
      </w:tblGrid>
      <w:tr w:rsidR="0041110F" w:rsidTr="0041110F">
        <w:tc>
          <w:tcPr>
            <w:tcW w:w="9350" w:type="dxa"/>
          </w:tcPr>
          <w:p w:rsidR="0041110F" w:rsidRDefault="0041110F" w:rsidP="0079070E">
            <w:pPr>
              <w:pStyle w:val="ListParagraph"/>
              <w:ind w:left="0"/>
            </w:pPr>
            <w:r>
              <w:rPr>
                <w:noProof/>
              </w:rPr>
              <w:drawing>
                <wp:inline distT="0" distB="0" distL="0" distR="0" wp14:anchorId="65784F9E" wp14:editId="5393433A">
                  <wp:extent cx="5943600" cy="3347545"/>
                  <wp:effectExtent l="0" t="0" r="0" b="5715"/>
                  <wp:docPr id="3" name="Picture 3" descr="https://image.slidesharecdn.com/hobbschapter4createtolearn-170925082933/95/renee-hobbs-2017-create-to-learn-introduction-to-digital-literacy-chapter-4-accessing-and-analyzing-ideas-20-638.jpg?cb=150633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lidesharecdn.com/hobbschapter4createtolearn-170925082933/95/renee-hobbs-2017-create-to-learn-introduction-to-digital-literacy-chapter-4-accessing-and-analyzing-ideas-20-638.jpg?cb=15063321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47545"/>
                          </a:xfrm>
                          <a:prstGeom prst="rect">
                            <a:avLst/>
                          </a:prstGeom>
                          <a:noFill/>
                          <a:ln>
                            <a:noFill/>
                          </a:ln>
                        </pic:spPr>
                      </pic:pic>
                    </a:graphicData>
                  </a:graphic>
                </wp:inline>
              </w:drawing>
            </w:r>
          </w:p>
        </w:tc>
      </w:tr>
    </w:tbl>
    <w:p w:rsidR="00A93E12" w:rsidRDefault="00A93E12" w:rsidP="0041110F"/>
    <w:p w:rsidR="00EA439B" w:rsidRPr="0041110F" w:rsidRDefault="0041110F">
      <w:pPr>
        <w:rPr>
          <w:b/>
        </w:rPr>
      </w:pPr>
      <w:r w:rsidRPr="0041110F">
        <w:rPr>
          <w:b/>
        </w:rPr>
        <w:t>Complete the table, using your mentor text of interest!</w:t>
      </w:r>
    </w:p>
    <w:tbl>
      <w:tblPr>
        <w:tblStyle w:val="TableGrid"/>
        <w:tblW w:w="0" w:type="auto"/>
        <w:tblLook w:val="04A0" w:firstRow="1" w:lastRow="0" w:firstColumn="1" w:lastColumn="0" w:noHBand="0" w:noVBand="1"/>
      </w:tblPr>
      <w:tblGrid>
        <w:gridCol w:w="4225"/>
        <w:gridCol w:w="5125"/>
      </w:tblGrid>
      <w:tr w:rsidR="0079070E" w:rsidTr="00E57D54">
        <w:tc>
          <w:tcPr>
            <w:tcW w:w="9350" w:type="dxa"/>
            <w:gridSpan w:val="2"/>
          </w:tcPr>
          <w:p w:rsidR="0079070E" w:rsidRDefault="0079070E">
            <w:r>
              <w:t>Mentor text</w:t>
            </w:r>
          </w:p>
          <w:p w:rsidR="0041110F" w:rsidRDefault="0041110F">
            <w:r>
              <w:t>Why did you choose this text?</w:t>
            </w:r>
          </w:p>
          <w:p w:rsidR="0079070E" w:rsidRDefault="0079070E">
            <w:r>
              <w:t xml:space="preserve">What </w:t>
            </w:r>
            <w:r w:rsidR="0041110F">
              <w:t>is it (genre</w:t>
            </w:r>
            <w:r>
              <w:t xml:space="preserve"> and media)?</w:t>
            </w:r>
          </w:p>
          <w:p w:rsidR="0079070E" w:rsidRDefault="0079070E">
            <w:r>
              <w:t>What is the source?</w:t>
            </w:r>
          </w:p>
        </w:tc>
      </w:tr>
      <w:tr w:rsidR="0079070E" w:rsidTr="0041110F">
        <w:tc>
          <w:tcPr>
            <w:tcW w:w="4225" w:type="dxa"/>
          </w:tcPr>
          <w:p w:rsidR="0079070E" w:rsidRDefault="0079070E" w:rsidP="0079070E">
            <w:pPr>
              <w:pStyle w:val="ListParagraph"/>
              <w:numPr>
                <w:ilvl w:val="0"/>
                <w:numId w:val="4"/>
              </w:numPr>
            </w:pPr>
            <w:r>
              <w:t>Who is the author and what is the purpose of the message?</w:t>
            </w:r>
          </w:p>
        </w:tc>
        <w:tc>
          <w:tcPr>
            <w:tcW w:w="5125" w:type="dxa"/>
          </w:tcPr>
          <w:p w:rsidR="0079070E" w:rsidRDefault="0079070E"/>
        </w:tc>
      </w:tr>
      <w:tr w:rsidR="0079070E" w:rsidTr="0041110F">
        <w:tc>
          <w:tcPr>
            <w:tcW w:w="4225" w:type="dxa"/>
          </w:tcPr>
          <w:p w:rsidR="0079070E" w:rsidRDefault="0079070E" w:rsidP="0079070E">
            <w:pPr>
              <w:pStyle w:val="ListParagraph"/>
              <w:numPr>
                <w:ilvl w:val="0"/>
                <w:numId w:val="4"/>
              </w:numPr>
            </w:pPr>
            <w:r>
              <w:lastRenderedPageBreak/>
              <w:t>What creative techniques are used to attract and hold audience attention?</w:t>
            </w:r>
          </w:p>
        </w:tc>
        <w:tc>
          <w:tcPr>
            <w:tcW w:w="5125" w:type="dxa"/>
          </w:tcPr>
          <w:p w:rsidR="0079070E" w:rsidRDefault="0079070E"/>
        </w:tc>
      </w:tr>
      <w:tr w:rsidR="0079070E" w:rsidTr="0041110F">
        <w:tc>
          <w:tcPr>
            <w:tcW w:w="4225" w:type="dxa"/>
          </w:tcPr>
          <w:p w:rsidR="0079070E" w:rsidRDefault="0079070E" w:rsidP="0079070E">
            <w:pPr>
              <w:pStyle w:val="ListParagraph"/>
              <w:numPr>
                <w:ilvl w:val="0"/>
                <w:numId w:val="4"/>
              </w:numPr>
            </w:pPr>
            <w:r>
              <w:t>How might different people interpret this message?</w:t>
            </w:r>
          </w:p>
        </w:tc>
        <w:tc>
          <w:tcPr>
            <w:tcW w:w="5125" w:type="dxa"/>
          </w:tcPr>
          <w:p w:rsidR="0079070E" w:rsidRDefault="0079070E"/>
        </w:tc>
      </w:tr>
      <w:tr w:rsidR="0079070E" w:rsidTr="0041110F">
        <w:tc>
          <w:tcPr>
            <w:tcW w:w="4225" w:type="dxa"/>
          </w:tcPr>
          <w:p w:rsidR="0079070E" w:rsidRDefault="0079070E" w:rsidP="0079070E">
            <w:pPr>
              <w:pStyle w:val="ListParagraph"/>
              <w:numPr>
                <w:ilvl w:val="0"/>
                <w:numId w:val="4"/>
              </w:numPr>
            </w:pPr>
            <w:r>
              <w:t>What lifestyles, values, and points of view are represented?</w:t>
            </w:r>
          </w:p>
        </w:tc>
        <w:tc>
          <w:tcPr>
            <w:tcW w:w="5125" w:type="dxa"/>
          </w:tcPr>
          <w:p w:rsidR="0079070E" w:rsidRDefault="0079070E"/>
        </w:tc>
      </w:tr>
      <w:tr w:rsidR="0079070E" w:rsidTr="0041110F">
        <w:tc>
          <w:tcPr>
            <w:tcW w:w="4225" w:type="dxa"/>
          </w:tcPr>
          <w:p w:rsidR="0079070E" w:rsidRDefault="0079070E" w:rsidP="0079070E">
            <w:pPr>
              <w:pStyle w:val="ListParagraph"/>
              <w:numPr>
                <w:ilvl w:val="0"/>
                <w:numId w:val="4"/>
              </w:numPr>
            </w:pPr>
            <w:r>
              <w:t>What is omitted?</w:t>
            </w:r>
          </w:p>
        </w:tc>
        <w:tc>
          <w:tcPr>
            <w:tcW w:w="5125" w:type="dxa"/>
          </w:tcPr>
          <w:p w:rsidR="0079070E" w:rsidRDefault="0079070E"/>
        </w:tc>
      </w:tr>
      <w:tr w:rsidR="0079070E" w:rsidTr="0041110F">
        <w:tc>
          <w:tcPr>
            <w:tcW w:w="4225" w:type="dxa"/>
          </w:tcPr>
          <w:p w:rsidR="0079070E" w:rsidRDefault="0079070E">
            <w:r>
              <w:t>Anything else?</w:t>
            </w:r>
          </w:p>
        </w:tc>
        <w:tc>
          <w:tcPr>
            <w:tcW w:w="5125" w:type="dxa"/>
          </w:tcPr>
          <w:p w:rsidR="0079070E" w:rsidRDefault="0079070E"/>
        </w:tc>
      </w:tr>
    </w:tbl>
    <w:p w:rsidR="0079070E" w:rsidRDefault="0079070E"/>
    <w:p w:rsidR="0079070E" w:rsidRPr="007776B9" w:rsidRDefault="007776B9" w:rsidP="007776B9">
      <w:pPr>
        <w:jc w:val="center"/>
        <w:rPr>
          <w:b/>
          <w:i/>
        </w:rPr>
      </w:pPr>
      <w:r w:rsidRPr="007776B9">
        <w:rPr>
          <w:b/>
          <w:i/>
        </w:rPr>
        <w:t>THE END</w:t>
      </w:r>
    </w:p>
    <w:sectPr w:rsidR="0079070E" w:rsidRPr="007776B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838" w:rsidRDefault="00707838" w:rsidP="007776B9">
      <w:pPr>
        <w:spacing w:after="0" w:line="240" w:lineRule="auto"/>
      </w:pPr>
      <w:r>
        <w:separator/>
      </w:r>
    </w:p>
  </w:endnote>
  <w:endnote w:type="continuationSeparator" w:id="0">
    <w:p w:rsidR="00707838" w:rsidRDefault="00707838" w:rsidP="00777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3F" w:rsidRDefault="00320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083599"/>
      <w:docPartObj>
        <w:docPartGallery w:val="Page Numbers (Bottom of Page)"/>
        <w:docPartUnique/>
      </w:docPartObj>
    </w:sdtPr>
    <w:sdtEndPr>
      <w:rPr>
        <w:noProof/>
      </w:rPr>
    </w:sdtEndPr>
    <w:sdtContent>
      <w:p w:rsidR="007776B9" w:rsidRDefault="007776B9">
        <w:pPr>
          <w:pStyle w:val="Footer"/>
          <w:jc w:val="center"/>
        </w:pPr>
        <w:r>
          <w:fldChar w:fldCharType="begin"/>
        </w:r>
        <w:r>
          <w:instrText xml:space="preserve"> PAGE   \* MERGEFORMAT </w:instrText>
        </w:r>
        <w:r>
          <w:fldChar w:fldCharType="separate"/>
        </w:r>
        <w:r w:rsidR="00320E3F">
          <w:rPr>
            <w:noProof/>
          </w:rPr>
          <w:t>1</w:t>
        </w:r>
        <w:r>
          <w:rPr>
            <w:noProof/>
          </w:rPr>
          <w:fldChar w:fldCharType="end"/>
        </w:r>
      </w:p>
    </w:sdtContent>
  </w:sdt>
  <w:p w:rsidR="007776B9" w:rsidRDefault="00777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3F" w:rsidRDefault="00320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838" w:rsidRDefault="00707838" w:rsidP="007776B9">
      <w:pPr>
        <w:spacing w:after="0" w:line="240" w:lineRule="auto"/>
      </w:pPr>
      <w:r>
        <w:separator/>
      </w:r>
    </w:p>
  </w:footnote>
  <w:footnote w:type="continuationSeparator" w:id="0">
    <w:p w:rsidR="00707838" w:rsidRDefault="00707838" w:rsidP="00777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3F" w:rsidRDefault="00320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B9" w:rsidRPr="007776B9" w:rsidRDefault="007776B9">
    <w:pPr>
      <w:pStyle w:val="Header"/>
      <w:rPr>
        <w:sz w:val="16"/>
        <w:szCs w:val="16"/>
      </w:rPr>
    </w:pPr>
    <w:r w:rsidRPr="007776B9">
      <w:rPr>
        <w:sz w:val="16"/>
        <w:szCs w:val="16"/>
      </w:rPr>
      <w:t>Ch. 4 reading guide</w:t>
    </w:r>
  </w:p>
  <w:p w:rsidR="007776B9" w:rsidRPr="007776B9" w:rsidRDefault="007776B9">
    <w:pPr>
      <w:pStyle w:val="Header"/>
      <w:rPr>
        <w:sz w:val="16"/>
        <w:szCs w:val="16"/>
      </w:rPr>
    </w:pPr>
    <w:proofErr w:type="spellStart"/>
    <w:r w:rsidRPr="007776B9">
      <w:rPr>
        <w:sz w:val="16"/>
        <w:szCs w:val="16"/>
      </w:rPr>
      <w:t>Educ</w:t>
    </w:r>
    <w:proofErr w:type="spellEnd"/>
    <w:r w:rsidRPr="007776B9">
      <w:rPr>
        <w:sz w:val="16"/>
        <w:szCs w:val="16"/>
      </w:rPr>
      <w:t xml:space="preserve"> 5255, </w:t>
    </w:r>
    <w:r w:rsidR="00320E3F">
      <w:rPr>
        <w:sz w:val="16"/>
        <w:szCs w:val="16"/>
      </w:rPr>
      <w:t>Bridget Dalton (bridget.dalton@colorado.edu)</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E3F" w:rsidRDefault="00320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81ABE"/>
    <w:multiLevelType w:val="hybridMultilevel"/>
    <w:tmpl w:val="2530F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E339E"/>
    <w:multiLevelType w:val="hybridMultilevel"/>
    <w:tmpl w:val="0CE8A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86A82"/>
    <w:multiLevelType w:val="hybridMultilevel"/>
    <w:tmpl w:val="E8546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B217B"/>
    <w:multiLevelType w:val="hybridMultilevel"/>
    <w:tmpl w:val="676AC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CB1EFB"/>
    <w:multiLevelType w:val="hybridMultilevel"/>
    <w:tmpl w:val="7B2A6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12"/>
    <w:rsid w:val="00034A8C"/>
    <w:rsid w:val="001372F9"/>
    <w:rsid w:val="001A4C41"/>
    <w:rsid w:val="00320E3F"/>
    <w:rsid w:val="0041110F"/>
    <w:rsid w:val="0042732A"/>
    <w:rsid w:val="005231E1"/>
    <w:rsid w:val="00707838"/>
    <w:rsid w:val="007776B9"/>
    <w:rsid w:val="0079070E"/>
    <w:rsid w:val="008F77F7"/>
    <w:rsid w:val="009554C1"/>
    <w:rsid w:val="00A70A7B"/>
    <w:rsid w:val="00A93E12"/>
    <w:rsid w:val="00CC0CFE"/>
    <w:rsid w:val="00D719FD"/>
    <w:rsid w:val="00DE73FF"/>
    <w:rsid w:val="00EA4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C30B"/>
  <w15:chartTrackingRefBased/>
  <w15:docId w15:val="{513E5150-4A55-4CD7-84B9-8F5167B1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31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1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C41"/>
    <w:rPr>
      <w:color w:val="0563C1" w:themeColor="hyperlink"/>
      <w:u w:val="single"/>
    </w:rPr>
  </w:style>
  <w:style w:type="character" w:customStyle="1" w:styleId="view-count">
    <w:name w:val="view-count"/>
    <w:basedOn w:val="DefaultParagraphFont"/>
    <w:rsid w:val="001A4C41"/>
  </w:style>
  <w:style w:type="character" w:customStyle="1" w:styleId="Date1">
    <w:name w:val="Date1"/>
    <w:basedOn w:val="DefaultParagraphFont"/>
    <w:rsid w:val="001A4C41"/>
  </w:style>
  <w:style w:type="character" w:customStyle="1" w:styleId="deemphasize">
    <w:name w:val="deemphasize"/>
    <w:basedOn w:val="DefaultParagraphFont"/>
    <w:rsid w:val="001A4C41"/>
  </w:style>
  <w:style w:type="character" w:customStyle="1" w:styleId="Heading1Char">
    <w:name w:val="Heading 1 Char"/>
    <w:basedOn w:val="DefaultParagraphFont"/>
    <w:link w:val="Heading1"/>
    <w:uiPriority w:val="9"/>
    <w:rsid w:val="005231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231E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231E1"/>
    <w:pPr>
      <w:ind w:left="720"/>
      <w:contextualSpacing/>
    </w:pPr>
  </w:style>
  <w:style w:type="character" w:styleId="FollowedHyperlink">
    <w:name w:val="FollowedHyperlink"/>
    <w:basedOn w:val="DefaultParagraphFont"/>
    <w:uiPriority w:val="99"/>
    <w:semiHidden/>
    <w:unhideWhenUsed/>
    <w:rsid w:val="00CC0CFE"/>
    <w:rPr>
      <w:color w:val="954F72" w:themeColor="followedHyperlink"/>
      <w:u w:val="single"/>
    </w:rPr>
  </w:style>
  <w:style w:type="table" w:styleId="TableGrid">
    <w:name w:val="Table Grid"/>
    <w:basedOn w:val="TableNormal"/>
    <w:uiPriority w:val="39"/>
    <w:rsid w:val="00427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6B9"/>
  </w:style>
  <w:style w:type="paragraph" w:styleId="Footer">
    <w:name w:val="footer"/>
    <w:basedOn w:val="Normal"/>
    <w:link w:val="FooterChar"/>
    <w:uiPriority w:val="99"/>
    <w:unhideWhenUsed/>
    <w:rsid w:val="00777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0099">
      <w:bodyDiv w:val="1"/>
      <w:marLeft w:val="0"/>
      <w:marRight w:val="0"/>
      <w:marTop w:val="0"/>
      <w:marBottom w:val="0"/>
      <w:divBdr>
        <w:top w:val="none" w:sz="0" w:space="0" w:color="auto"/>
        <w:left w:val="none" w:sz="0" w:space="0" w:color="auto"/>
        <w:bottom w:val="none" w:sz="0" w:space="0" w:color="auto"/>
        <w:right w:val="none" w:sz="0" w:space="0" w:color="auto"/>
      </w:divBdr>
      <w:divsChild>
        <w:div w:id="1776943490">
          <w:marLeft w:val="0"/>
          <w:marRight w:val="0"/>
          <w:marTop w:val="0"/>
          <w:marBottom w:val="0"/>
          <w:divBdr>
            <w:top w:val="none" w:sz="0" w:space="0" w:color="auto"/>
            <w:left w:val="none" w:sz="0" w:space="0" w:color="auto"/>
            <w:bottom w:val="none" w:sz="0" w:space="0" w:color="auto"/>
            <w:right w:val="none" w:sz="0" w:space="0" w:color="auto"/>
          </w:divBdr>
        </w:div>
        <w:div w:id="1340623781">
          <w:marLeft w:val="0"/>
          <w:marRight w:val="0"/>
          <w:marTop w:val="0"/>
          <w:marBottom w:val="0"/>
          <w:divBdr>
            <w:top w:val="none" w:sz="0" w:space="0" w:color="auto"/>
            <w:left w:val="none" w:sz="0" w:space="0" w:color="auto"/>
            <w:bottom w:val="none" w:sz="0" w:space="0" w:color="auto"/>
            <w:right w:val="none" w:sz="0" w:space="0" w:color="auto"/>
          </w:divBdr>
          <w:divsChild>
            <w:div w:id="1531841966">
              <w:marLeft w:val="0"/>
              <w:marRight w:val="0"/>
              <w:marTop w:val="0"/>
              <w:marBottom w:val="0"/>
              <w:divBdr>
                <w:top w:val="none" w:sz="0" w:space="0" w:color="auto"/>
                <w:left w:val="none" w:sz="0" w:space="0" w:color="auto"/>
                <w:bottom w:val="none" w:sz="0" w:space="0" w:color="auto"/>
                <w:right w:val="none" w:sz="0" w:space="0" w:color="auto"/>
              </w:divBdr>
              <w:divsChild>
                <w:div w:id="16198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9195">
      <w:bodyDiv w:val="1"/>
      <w:marLeft w:val="0"/>
      <w:marRight w:val="0"/>
      <w:marTop w:val="0"/>
      <w:marBottom w:val="0"/>
      <w:divBdr>
        <w:top w:val="none" w:sz="0" w:space="0" w:color="auto"/>
        <w:left w:val="none" w:sz="0" w:space="0" w:color="auto"/>
        <w:bottom w:val="none" w:sz="0" w:space="0" w:color="auto"/>
        <w:right w:val="none" w:sz="0" w:space="0" w:color="auto"/>
      </w:divBdr>
      <w:divsChild>
        <w:div w:id="1120686625">
          <w:marLeft w:val="0"/>
          <w:marRight w:val="0"/>
          <w:marTop w:val="0"/>
          <w:marBottom w:val="0"/>
          <w:divBdr>
            <w:top w:val="none" w:sz="0" w:space="0" w:color="auto"/>
            <w:left w:val="none" w:sz="0" w:space="0" w:color="auto"/>
            <w:bottom w:val="none" w:sz="0" w:space="0" w:color="auto"/>
            <w:right w:val="none" w:sz="0" w:space="0" w:color="auto"/>
          </w:divBdr>
          <w:divsChild>
            <w:div w:id="2130659855">
              <w:marLeft w:val="0"/>
              <w:marRight w:val="0"/>
              <w:marTop w:val="0"/>
              <w:marBottom w:val="0"/>
              <w:divBdr>
                <w:top w:val="none" w:sz="0" w:space="0" w:color="auto"/>
                <w:left w:val="none" w:sz="0" w:space="0" w:color="auto"/>
                <w:bottom w:val="none" w:sz="0" w:space="0" w:color="auto"/>
                <w:right w:val="none" w:sz="0" w:space="0" w:color="auto"/>
              </w:divBdr>
              <w:divsChild>
                <w:div w:id="1670064654">
                  <w:marLeft w:val="0"/>
                  <w:marRight w:val="0"/>
                  <w:marTop w:val="0"/>
                  <w:marBottom w:val="0"/>
                  <w:divBdr>
                    <w:top w:val="none" w:sz="0" w:space="0" w:color="auto"/>
                    <w:left w:val="none" w:sz="0" w:space="0" w:color="auto"/>
                    <w:bottom w:val="none" w:sz="0" w:space="0" w:color="auto"/>
                    <w:right w:val="none" w:sz="0" w:space="0" w:color="auto"/>
                  </w:divBdr>
                  <w:divsChild>
                    <w:div w:id="651520607">
                      <w:marLeft w:val="0"/>
                      <w:marRight w:val="0"/>
                      <w:marTop w:val="0"/>
                      <w:marBottom w:val="180"/>
                      <w:divBdr>
                        <w:top w:val="none" w:sz="0" w:space="0" w:color="auto"/>
                        <w:left w:val="none" w:sz="0" w:space="0" w:color="auto"/>
                        <w:bottom w:val="none" w:sz="0" w:space="0" w:color="auto"/>
                        <w:right w:val="none" w:sz="0" w:space="0" w:color="auto"/>
                      </w:divBdr>
                      <w:divsChild>
                        <w:div w:id="2071267109">
                          <w:marLeft w:val="0"/>
                          <w:marRight w:val="0"/>
                          <w:marTop w:val="0"/>
                          <w:marBottom w:val="0"/>
                          <w:divBdr>
                            <w:top w:val="none" w:sz="0" w:space="0" w:color="auto"/>
                            <w:left w:val="none" w:sz="0" w:space="0" w:color="auto"/>
                            <w:bottom w:val="none" w:sz="0" w:space="0" w:color="auto"/>
                            <w:right w:val="none" w:sz="0" w:space="0" w:color="auto"/>
                          </w:divBdr>
                          <w:divsChild>
                            <w:div w:id="1910458139">
                              <w:marLeft w:val="0"/>
                              <w:marRight w:val="0"/>
                              <w:marTop w:val="0"/>
                              <w:marBottom w:val="0"/>
                              <w:divBdr>
                                <w:top w:val="none" w:sz="0" w:space="0" w:color="auto"/>
                                <w:left w:val="none" w:sz="0" w:space="0" w:color="auto"/>
                                <w:bottom w:val="none" w:sz="0" w:space="0" w:color="auto"/>
                                <w:right w:val="none" w:sz="0" w:space="0" w:color="auto"/>
                              </w:divBdr>
                            </w:div>
                          </w:divsChild>
                        </w:div>
                        <w:div w:id="815102515">
                          <w:marLeft w:val="0"/>
                          <w:marRight w:val="0"/>
                          <w:marTop w:val="0"/>
                          <w:marBottom w:val="0"/>
                          <w:divBdr>
                            <w:top w:val="none" w:sz="0" w:space="0" w:color="auto"/>
                            <w:left w:val="none" w:sz="0" w:space="0" w:color="auto"/>
                            <w:bottom w:val="none" w:sz="0" w:space="0" w:color="auto"/>
                            <w:right w:val="none" w:sz="0" w:space="0" w:color="auto"/>
                          </w:divBdr>
                        </w:div>
                      </w:divsChild>
                    </w:div>
                    <w:div w:id="16540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reatetolearn.online/" TargetMode="External"/><Relationship Id="rId12" Type="http://schemas.openxmlformats.org/officeDocument/2006/relationships/hyperlink" Target="https://www.youtube.com/redirect?q=http%3A%2F%2Fwww.sigmabeauty.com%2F%3FClick%3D26915&amp;v=4NIpIr1X9Kc&amp;redir_token=Zh5C4pyjTk9n7_4cDw8qPKT-03N8MTUxNzk1NzEwOUAxNTE3ODcwNzA5&amp;event=video_descripti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youtube.com/user/mzzclipper12"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youtube.com/watch?v=4NIpIr1X9Kc"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Monroe Dalton</dc:creator>
  <cp:keywords/>
  <dc:description/>
  <cp:lastModifiedBy>Bridget Monroe Dalton</cp:lastModifiedBy>
  <cp:revision>3</cp:revision>
  <dcterms:created xsi:type="dcterms:W3CDTF">2018-02-06T01:04:00Z</dcterms:created>
  <dcterms:modified xsi:type="dcterms:W3CDTF">2018-04-09T20:43:00Z</dcterms:modified>
</cp:coreProperties>
</file>